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53"/>
        <w:ind w:left="2990" w:right="0" w:firstLine="0"/>
        <w:jc w:val="left"/>
        <w:rPr>
          <w:b/>
          <w:sz w:val="26"/>
        </w:rPr>
      </w:pPr>
      <w:r>
        <w:rPr>
          <w:b/>
          <w:color w:val="231F20"/>
          <w:sz w:val="26"/>
        </w:rPr>
        <w:t>III. Otras Resoluciones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Heading1"/>
        <w:ind w:left="1838" w:right="1838"/>
        <w:jc w:val="center"/>
      </w:pPr>
      <w:r>
        <w:rPr>
          <w:color w:val="231F20"/>
        </w:rPr>
        <w:t>Consejería de Empleo, Políticas Sociales y Vivienda</w:t>
      </w:r>
    </w:p>
    <w:p>
      <w:pPr>
        <w:pStyle w:val="BodyText"/>
        <w:spacing w:before="6"/>
        <w:rPr>
          <w:b/>
          <w:sz w:val="26"/>
        </w:rPr>
      </w:pPr>
    </w:p>
    <w:p>
      <w:pPr>
        <w:spacing w:line="259" w:lineRule="auto" w:before="0"/>
        <w:ind w:left="871" w:right="300" w:hanging="567"/>
        <w:jc w:val="both"/>
        <w:rPr>
          <w:i/>
          <w:sz w:val="22"/>
        </w:rPr>
      </w:pPr>
      <w:r>
        <w:rPr>
          <w:b/>
          <w:color w:val="231F20"/>
          <w:sz w:val="22"/>
        </w:rPr>
        <w:t>1085 </w:t>
      </w:r>
      <w:r>
        <w:rPr>
          <w:i/>
          <w:color w:val="231F20"/>
          <w:sz w:val="22"/>
        </w:rPr>
        <w:t>Servicio Canario de Empleo.- Resolución de 20 de </w:t>
      </w:r>
      <w:r>
        <w:rPr>
          <w:i/>
          <w:color w:val="231F20"/>
          <w:spacing w:val="-3"/>
          <w:sz w:val="22"/>
        </w:rPr>
        <w:t>febrero </w:t>
      </w:r>
      <w:r>
        <w:rPr>
          <w:i/>
          <w:color w:val="231F20"/>
          <w:sz w:val="22"/>
        </w:rPr>
        <w:t>de 2019, de la</w:t>
      </w:r>
      <w:r>
        <w:rPr>
          <w:i/>
          <w:color w:val="231F20"/>
          <w:spacing w:val="-38"/>
          <w:sz w:val="22"/>
        </w:rPr>
        <w:t> </w:t>
      </w:r>
      <w:r>
        <w:rPr>
          <w:i/>
          <w:color w:val="231F20"/>
          <w:sz w:val="22"/>
        </w:rPr>
        <w:t>Secretaria </w:t>
      </w:r>
      <w:r>
        <w:rPr>
          <w:i/>
          <w:color w:val="231F20"/>
          <w:sz w:val="22"/>
        </w:rPr>
        <w:t>General, por la que se </w:t>
      </w:r>
      <w:r>
        <w:rPr>
          <w:i/>
          <w:color w:val="231F20"/>
          <w:spacing w:val="-3"/>
          <w:sz w:val="22"/>
        </w:rPr>
        <w:t>crea </w:t>
      </w:r>
      <w:r>
        <w:rPr>
          <w:i/>
          <w:color w:val="231F20"/>
          <w:sz w:val="22"/>
        </w:rPr>
        <w:t>el sello electrónico cualificado del Servicio Canario  de Empleo y se deja sin efectos la Resolución de 25 de julio de 2012, que </w:t>
      </w:r>
      <w:r>
        <w:rPr>
          <w:i/>
          <w:color w:val="231F20"/>
          <w:spacing w:val="-3"/>
          <w:sz w:val="22"/>
        </w:rPr>
        <w:t>crea </w:t>
      </w:r>
      <w:r>
        <w:rPr>
          <w:i/>
          <w:color w:val="231F20"/>
          <w:sz w:val="22"/>
        </w:rPr>
        <w:t>el sello electrónico para la identificación y firma de las actuaciones administrativas automatizadas en la sede electrónica y </w:t>
      </w:r>
      <w:r>
        <w:rPr>
          <w:i/>
          <w:color w:val="231F20"/>
          <w:spacing w:val="-3"/>
          <w:sz w:val="22"/>
        </w:rPr>
        <w:t>crea </w:t>
      </w:r>
      <w:r>
        <w:rPr>
          <w:i/>
          <w:color w:val="231F20"/>
          <w:sz w:val="22"/>
        </w:rPr>
        <w:t>el </w:t>
      </w:r>
      <w:r>
        <w:rPr>
          <w:i/>
          <w:color w:val="231F20"/>
          <w:spacing w:val="-3"/>
          <w:sz w:val="22"/>
        </w:rPr>
        <w:t>registro </w:t>
      </w:r>
      <w:r>
        <w:rPr>
          <w:i/>
          <w:color w:val="231F20"/>
          <w:sz w:val="22"/>
        </w:rPr>
        <w:t>electrónico de certificados que se expidan en dicha sede, modificada por la Resolución de 21 de octubre de 2015.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BodyText"/>
        <w:spacing w:line="266" w:lineRule="auto"/>
        <w:ind w:left="304" w:right="300" w:firstLine="283"/>
        <w:jc w:val="both"/>
      </w:pPr>
      <w:r>
        <w:rPr>
          <w:color w:val="231F20"/>
        </w:rPr>
        <w:t>La Ley 40/2015, de 1 de octubre, de Régimen Jurídico del Sector Público establece en su artículo 38.6 que las sedes electrónicas utilizarán, para identificarse y garantizar </w:t>
      </w:r>
      <w:r>
        <w:rPr>
          <w:color w:val="231F20"/>
          <w:spacing w:val="-2"/>
        </w:rPr>
        <w:t>una </w:t>
      </w:r>
      <w:r>
        <w:rPr>
          <w:color w:val="231F20"/>
        </w:rPr>
        <w:t>comunicación</w:t>
      </w:r>
      <w:r>
        <w:rPr>
          <w:color w:val="231F20"/>
          <w:spacing w:val="-40"/>
        </w:rPr>
        <w:t> </w:t>
      </w:r>
      <w:r>
        <w:rPr>
          <w:color w:val="231F20"/>
        </w:rPr>
        <w:t>segura</w:t>
      </w:r>
      <w:r>
        <w:rPr>
          <w:color w:val="231F20"/>
          <w:spacing w:val="-39"/>
        </w:rPr>
        <w:t> </w:t>
      </w:r>
      <w:r>
        <w:rPr>
          <w:color w:val="231F20"/>
        </w:rPr>
        <w:t>con</w:t>
      </w:r>
      <w:r>
        <w:rPr>
          <w:color w:val="231F20"/>
          <w:spacing w:val="-39"/>
        </w:rPr>
        <w:t> </w:t>
      </w:r>
      <w:r>
        <w:rPr>
          <w:color w:val="231F20"/>
        </w:rPr>
        <w:t>las</w:t>
      </w:r>
      <w:r>
        <w:rPr>
          <w:color w:val="231F20"/>
          <w:spacing w:val="-39"/>
        </w:rPr>
        <w:t> </w:t>
      </w:r>
      <w:r>
        <w:rPr>
          <w:color w:val="231F20"/>
        </w:rPr>
        <w:t>mismas,</w:t>
      </w:r>
      <w:r>
        <w:rPr>
          <w:color w:val="231F20"/>
          <w:spacing w:val="-39"/>
        </w:rPr>
        <w:t> </w:t>
      </w:r>
      <w:r>
        <w:rPr>
          <w:color w:val="231F20"/>
        </w:rPr>
        <w:t>certificados</w:t>
      </w:r>
      <w:r>
        <w:rPr>
          <w:color w:val="231F20"/>
          <w:spacing w:val="-39"/>
        </w:rPr>
        <w:t> </w:t>
      </w:r>
      <w:r>
        <w:rPr>
          <w:color w:val="231F20"/>
        </w:rPr>
        <w:t>reconocidos</w:t>
      </w:r>
      <w:r>
        <w:rPr>
          <w:color w:val="231F20"/>
          <w:spacing w:val="-39"/>
        </w:rPr>
        <w:t> </w:t>
      </w:r>
      <w:r>
        <w:rPr>
          <w:color w:val="231F20"/>
        </w:rPr>
        <w:t>o</w:t>
      </w:r>
      <w:r>
        <w:rPr>
          <w:color w:val="231F20"/>
          <w:spacing w:val="-39"/>
        </w:rPr>
        <w:t> </w:t>
      </w:r>
      <w:r>
        <w:rPr>
          <w:color w:val="231F20"/>
        </w:rPr>
        <w:t>cualificados</w:t>
      </w:r>
      <w:r>
        <w:rPr>
          <w:color w:val="231F20"/>
          <w:spacing w:val="-39"/>
        </w:rPr>
        <w:t> </w:t>
      </w:r>
      <w:r>
        <w:rPr>
          <w:color w:val="231F20"/>
        </w:rPr>
        <w:t>de</w:t>
      </w:r>
      <w:r>
        <w:rPr>
          <w:color w:val="231F20"/>
          <w:spacing w:val="-39"/>
        </w:rPr>
        <w:t> </w:t>
      </w:r>
      <w:r>
        <w:rPr>
          <w:color w:val="231F20"/>
        </w:rPr>
        <w:t>autenticación de sitio web o medio equivalente. Así, en su artículo 40, apartado 1 determina que </w:t>
      </w:r>
      <w:r>
        <w:rPr>
          <w:color w:val="231F20"/>
          <w:spacing w:val="-2"/>
        </w:rPr>
        <w:t>las </w:t>
      </w:r>
      <w:r>
        <w:rPr>
          <w:color w:val="231F20"/>
        </w:rPr>
        <w:t>Administraciones Públicas podrán identificarse mediante el uso de un sello electrónico basado en un certificado electrónico reconocido o cualificado que reúna los requisitos exigidos por la legislación de firma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electrónica.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color w:val="231F20"/>
        </w:rPr>
        <w:t>Los</w:t>
      </w:r>
      <w:r>
        <w:rPr>
          <w:color w:val="231F20"/>
          <w:spacing w:val="-19"/>
        </w:rPr>
        <w:t> </w:t>
      </w:r>
      <w:r>
        <w:rPr>
          <w:color w:val="231F20"/>
        </w:rPr>
        <w:t>artículos</w:t>
      </w:r>
      <w:r>
        <w:rPr>
          <w:color w:val="231F20"/>
          <w:spacing w:val="-19"/>
        </w:rPr>
        <w:t> </w:t>
      </w:r>
      <w:r>
        <w:rPr>
          <w:color w:val="231F20"/>
        </w:rPr>
        <w:t>41</w:t>
      </w:r>
      <w:r>
        <w:rPr>
          <w:color w:val="231F20"/>
          <w:spacing w:val="-19"/>
        </w:rPr>
        <w:t> </w:t>
      </w:r>
      <w:r>
        <w:rPr>
          <w:color w:val="231F20"/>
        </w:rPr>
        <w:t>y</w:t>
      </w:r>
      <w:r>
        <w:rPr>
          <w:color w:val="231F20"/>
          <w:spacing w:val="-19"/>
        </w:rPr>
        <w:t> </w:t>
      </w:r>
      <w:r>
        <w:rPr>
          <w:color w:val="231F20"/>
        </w:rPr>
        <w:t>42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Ley</w:t>
      </w:r>
      <w:r>
        <w:rPr>
          <w:color w:val="231F20"/>
          <w:spacing w:val="-19"/>
        </w:rPr>
        <w:t> </w:t>
      </w:r>
      <w:r>
        <w:rPr>
          <w:color w:val="231F20"/>
        </w:rPr>
        <w:t>40/2015</w:t>
      </w:r>
      <w:r>
        <w:rPr>
          <w:color w:val="231F20"/>
          <w:spacing w:val="-19"/>
        </w:rPr>
        <w:t> </w:t>
      </w:r>
      <w:r>
        <w:rPr>
          <w:color w:val="231F20"/>
        </w:rPr>
        <w:t>regulan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actuación</w:t>
      </w:r>
      <w:r>
        <w:rPr>
          <w:color w:val="231F20"/>
          <w:spacing w:val="-19"/>
        </w:rPr>
        <w:t> </w:t>
      </w:r>
      <w:r>
        <w:rPr>
          <w:color w:val="231F20"/>
        </w:rPr>
        <w:t>administrativa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automatizada </w:t>
      </w:r>
      <w:r>
        <w:rPr>
          <w:color w:val="231F20"/>
        </w:rPr>
        <w:t>y los sistemas de firma para la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misma.</w:t>
      </w:r>
    </w:p>
    <w:p>
      <w:pPr>
        <w:pStyle w:val="BodyText"/>
      </w:pPr>
    </w:p>
    <w:p>
      <w:pPr>
        <w:pStyle w:val="BodyText"/>
        <w:spacing w:line="266" w:lineRule="auto" w:before="145"/>
        <w:ind w:left="304" w:right="296" w:firstLine="283"/>
        <w:jc w:val="both"/>
      </w:pPr>
      <w:r>
        <w:rPr>
          <w:color w:val="231F20"/>
        </w:rPr>
        <w:t>En </w:t>
      </w:r>
      <w:r>
        <w:rPr>
          <w:color w:val="231F20"/>
          <w:spacing w:val="2"/>
        </w:rPr>
        <w:t>cumplimiento  </w:t>
      </w:r>
      <w:r>
        <w:rPr>
          <w:color w:val="231F20"/>
        </w:rPr>
        <w:t>de  la  </w:t>
      </w:r>
      <w:r>
        <w:rPr>
          <w:color w:val="231F20"/>
          <w:spacing w:val="2"/>
        </w:rPr>
        <w:t>Disposición  adicional  cuarta  </w:t>
      </w:r>
      <w:r>
        <w:rPr>
          <w:color w:val="231F20"/>
        </w:rPr>
        <w:t>del  </w:t>
      </w:r>
      <w:r>
        <w:rPr>
          <w:color w:val="231F20"/>
          <w:spacing w:val="2"/>
        </w:rPr>
        <w:t>Decreto  </w:t>
      </w:r>
      <w:r>
        <w:rPr>
          <w:color w:val="231F20"/>
        </w:rPr>
        <w:t>19/2011,  </w:t>
      </w:r>
      <w:r>
        <w:rPr>
          <w:color w:val="231F20"/>
          <w:spacing w:val="3"/>
        </w:rPr>
        <w:t>de</w:t>
      </w:r>
      <w:r>
        <w:rPr>
          <w:color w:val="231F20"/>
          <w:spacing w:val="61"/>
        </w:rPr>
        <w:t> </w:t>
      </w:r>
      <w:r>
        <w:rPr>
          <w:color w:val="231F20"/>
        </w:rPr>
        <w:t>10 de </w:t>
      </w:r>
      <w:r>
        <w:rPr>
          <w:color w:val="231F20"/>
          <w:spacing w:val="2"/>
        </w:rPr>
        <w:t>febrero, </w:t>
      </w:r>
      <w:r>
        <w:rPr>
          <w:color w:val="231F20"/>
        </w:rPr>
        <w:t>por el que se </w:t>
      </w:r>
      <w:r>
        <w:rPr>
          <w:color w:val="231F20"/>
          <w:spacing w:val="2"/>
        </w:rPr>
        <w:t>regula </w:t>
      </w:r>
      <w:r>
        <w:rPr>
          <w:color w:val="231F20"/>
        </w:rPr>
        <w:t>la </w:t>
      </w:r>
      <w:r>
        <w:rPr>
          <w:color w:val="231F20"/>
          <w:spacing w:val="2"/>
        </w:rPr>
        <w:t>utilización </w:t>
      </w:r>
      <w:r>
        <w:rPr>
          <w:color w:val="231F20"/>
        </w:rPr>
        <w:t>de los </w:t>
      </w:r>
      <w:r>
        <w:rPr>
          <w:color w:val="231F20"/>
          <w:spacing w:val="2"/>
        </w:rPr>
        <w:t>medios electrónicos </w:t>
      </w:r>
      <w:r>
        <w:rPr>
          <w:color w:val="231F20"/>
        </w:rPr>
        <w:t>en </w:t>
      </w:r>
      <w:r>
        <w:rPr>
          <w:color w:val="231F20"/>
          <w:spacing w:val="3"/>
        </w:rPr>
        <w:t>la </w:t>
      </w:r>
      <w:r>
        <w:rPr>
          <w:color w:val="231F20"/>
          <w:spacing w:val="2"/>
        </w:rPr>
        <w:t>Administración Pública </w:t>
      </w:r>
      <w:r>
        <w:rPr>
          <w:color w:val="231F20"/>
        </w:rPr>
        <w:t>de la </w:t>
      </w:r>
      <w:r>
        <w:rPr>
          <w:color w:val="231F20"/>
          <w:spacing w:val="2"/>
        </w:rPr>
        <w:t>Comunidad Autónoma </w:t>
      </w:r>
      <w:r>
        <w:rPr>
          <w:color w:val="231F20"/>
        </w:rPr>
        <w:t>de </w:t>
      </w:r>
      <w:r>
        <w:rPr>
          <w:color w:val="231F20"/>
          <w:spacing w:val="2"/>
        </w:rPr>
        <w:t>Canarias </w:t>
      </w:r>
      <w:r>
        <w:rPr>
          <w:color w:val="231F20"/>
        </w:rPr>
        <w:t>se </w:t>
      </w:r>
      <w:r>
        <w:rPr>
          <w:color w:val="231F20"/>
          <w:spacing w:val="2"/>
        </w:rPr>
        <w:t>aprueba </w:t>
      </w:r>
      <w:r>
        <w:rPr>
          <w:color w:val="231F20"/>
        </w:rPr>
        <w:t>la  </w:t>
      </w:r>
      <w:r>
        <w:rPr>
          <w:color w:val="231F20"/>
          <w:spacing w:val="3"/>
        </w:rPr>
        <w:t>Orden </w:t>
      </w:r>
      <w:r>
        <w:rPr>
          <w:color w:val="231F20"/>
        </w:rPr>
        <w:t>de 30 de </w:t>
      </w:r>
      <w:r>
        <w:rPr>
          <w:color w:val="231F20"/>
          <w:spacing w:val="2"/>
        </w:rPr>
        <w:t>abril </w:t>
      </w:r>
      <w:r>
        <w:rPr>
          <w:color w:val="231F20"/>
        </w:rPr>
        <w:t>de </w:t>
      </w:r>
      <w:r>
        <w:rPr>
          <w:color w:val="231F20"/>
          <w:spacing w:val="2"/>
        </w:rPr>
        <w:t>2015, </w:t>
      </w:r>
      <w:r>
        <w:rPr>
          <w:color w:val="231F20"/>
        </w:rPr>
        <w:t>que </w:t>
      </w:r>
      <w:r>
        <w:rPr>
          <w:color w:val="231F20"/>
          <w:spacing w:val="2"/>
        </w:rPr>
        <w:t>regula </w:t>
      </w:r>
      <w:r>
        <w:rPr>
          <w:color w:val="231F20"/>
        </w:rPr>
        <w:t>la </w:t>
      </w:r>
      <w:r>
        <w:rPr>
          <w:color w:val="231F20"/>
          <w:spacing w:val="2"/>
        </w:rPr>
        <w:t>política </w:t>
      </w:r>
      <w:r>
        <w:rPr>
          <w:color w:val="231F20"/>
        </w:rPr>
        <w:t>de </w:t>
      </w:r>
      <w:r>
        <w:rPr>
          <w:color w:val="231F20"/>
          <w:spacing w:val="2"/>
        </w:rPr>
        <w:t>identificación </w:t>
      </w:r>
      <w:r>
        <w:rPr>
          <w:color w:val="231F20"/>
        </w:rPr>
        <w:t>y </w:t>
      </w:r>
      <w:r>
        <w:rPr>
          <w:color w:val="231F20"/>
          <w:spacing w:val="2"/>
        </w:rPr>
        <w:t>autentificación </w:t>
      </w:r>
      <w:r>
        <w:rPr>
          <w:color w:val="231F20"/>
        </w:rPr>
        <w:t>en </w:t>
      </w:r>
      <w:r>
        <w:rPr>
          <w:color w:val="231F20"/>
          <w:spacing w:val="3"/>
        </w:rPr>
        <w:t>el </w:t>
      </w:r>
      <w:r>
        <w:rPr>
          <w:color w:val="231F20"/>
          <w:spacing w:val="2"/>
        </w:rPr>
        <w:t>ámbito </w:t>
      </w:r>
      <w:r>
        <w:rPr>
          <w:color w:val="231F20"/>
        </w:rPr>
        <w:t>de la </w:t>
      </w:r>
      <w:r>
        <w:rPr>
          <w:color w:val="231F20"/>
          <w:spacing w:val="2"/>
        </w:rPr>
        <w:t>administración electrónica </w:t>
      </w:r>
      <w:r>
        <w:rPr>
          <w:color w:val="231F20"/>
        </w:rPr>
        <w:t>de la </w:t>
      </w:r>
      <w:r>
        <w:rPr>
          <w:color w:val="231F20"/>
          <w:spacing w:val="2"/>
        </w:rPr>
        <w:t>Administración Pública </w:t>
      </w:r>
      <w:r>
        <w:rPr>
          <w:color w:val="231F20"/>
        </w:rPr>
        <w:t>de la </w:t>
      </w:r>
      <w:r>
        <w:rPr>
          <w:color w:val="231F20"/>
          <w:spacing w:val="3"/>
        </w:rPr>
        <w:t>Comunidad </w:t>
      </w:r>
      <w:r>
        <w:rPr>
          <w:color w:val="231F20"/>
          <w:spacing w:val="2"/>
        </w:rPr>
        <w:t>Autónoma </w:t>
      </w:r>
      <w:r>
        <w:rPr>
          <w:color w:val="231F20"/>
        </w:rPr>
        <w:t>de </w:t>
      </w:r>
      <w:r>
        <w:rPr>
          <w:color w:val="231F20"/>
          <w:spacing w:val="2"/>
        </w:rPr>
        <w:t>Canarias, disponiendo, </w:t>
      </w:r>
      <w:r>
        <w:rPr>
          <w:color w:val="231F20"/>
        </w:rPr>
        <w:t>en su </w:t>
      </w:r>
      <w:r>
        <w:rPr>
          <w:color w:val="231F20"/>
          <w:spacing w:val="2"/>
        </w:rPr>
        <w:t>artículo </w:t>
      </w:r>
      <w:r>
        <w:rPr>
          <w:color w:val="231F20"/>
        </w:rPr>
        <w:t>11, </w:t>
      </w:r>
      <w:r>
        <w:rPr>
          <w:color w:val="231F20"/>
          <w:spacing w:val="2"/>
        </w:rPr>
        <w:t>bajo </w:t>
      </w:r>
      <w:r>
        <w:rPr>
          <w:color w:val="231F20"/>
        </w:rPr>
        <w:t>la </w:t>
      </w:r>
      <w:r>
        <w:rPr>
          <w:color w:val="231F20"/>
          <w:spacing w:val="2"/>
        </w:rPr>
        <w:t>rubrica “Certificados </w:t>
      </w:r>
      <w:r>
        <w:rPr>
          <w:color w:val="231F20"/>
          <w:spacing w:val="3"/>
        </w:rPr>
        <w:t>de </w:t>
      </w:r>
      <w:r>
        <w:rPr>
          <w:color w:val="231F20"/>
          <w:spacing w:val="2"/>
        </w:rPr>
        <w:t>sello electrónico”, </w:t>
      </w:r>
      <w:r>
        <w:rPr>
          <w:color w:val="231F20"/>
        </w:rPr>
        <w:t>la </w:t>
      </w:r>
      <w:r>
        <w:rPr>
          <w:color w:val="231F20"/>
          <w:spacing w:val="2"/>
        </w:rPr>
        <w:t>creación </w:t>
      </w:r>
      <w:r>
        <w:rPr>
          <w:color w:val="231F20"/>
        </w:rPr>
        <w:t>de los </w:t>
      </w:r>
      <w:r>
        <w:rPr>
          <w:color w:val="231F20"/>
          <w:spacing w:val="2"/>
        </w:rPr>
        <w:t>certificados </w:t>
      </w:r>
      <w:r>
        <w:rPr>
          <w:color w:val="231F20"/>
        </w:rPr>
        <w:t>de </w:t>
      </w:r>
      <w:r>
        <w:rPr>
          <w:color w:val="231F20"/>
          <w:spacing w:val="2"/>
        </w:rPr>
        <w:t>sellos electrónicos </w:t>
      </w:r>
      <w:r>
        <w:rPr>
          <w:color w:val="231F20"/>
        </w:rPr>
        <w:t>y su </w:t>
      </w:r>
      <w:r>
        <w:rPr>
          <w:color w:val="231F20"/>
          <w:spacing w:val="3"/>
        </w:rPr>
        <w:t>contenido mínimo.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color w:val="231F20"/>
          <w:spacing w:val="-4"/>
        </w:rPr>
        <w:t>Debido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los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cambios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normativos</w:t>
      </w:r>
      <w:r>
        <w:rPr>
          <w:color w:val="231F20"/>
          <w:spacing w:val="-25"/>
        </w:rPr>
        <w:t> </w:t>
      </w:r>
      <w:r>
        <w:rPr>
          <w:color w:val="231F20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tecnológicos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producidos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lo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largo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estos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años,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procede dejar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sin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efecto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Resolución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25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julio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2012,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crea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sello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electrónico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del Servicio Canario </w:t>
      </w:r>
      <w:r>
        <w:rPr>
          <w:color w:val="231F20"/>
        </w:rPr>
        <w:t>de </w:t>
      </w:r>
      <w:r>
        <w:rPr>
          <w:color w:val="231F20"/>
          <w:spacing w:val="-4"/>
        </w:rPr>
        <w:t>Empleo </w:t>
      </w:r>
      <w:r>
        <w:rPr>
          <w:color w:val="231F20"/>
          <w:spacing w:val="-3"/>
        </w:rPr>
        <w:t>para </w:t>
      </w:r>
      <w:r>
        <w:rPr>
          <w:color w:val="231F20"/>
        </w:rPr>
        <w:t>la </w:t>
      </w:r>
      <w:r>
        <w:rPr>
          <w:color w:val="231F20"/>
          <w:spacing w:val="-4"/>
        </w:rPr>
        <w:t>identificación </w:t>
      </w:r>
      <w:r>
        <w:rPr>
          <w:color w:val="231F20"/>
        </w:rPr>
        <w:t>y </w:t>
      </w:r>
      <w:r>
        <w:rPr>
          <w:color w:val="231F20"/>
          <w:spacing w:val="-3"/>
        </w:rPr>
        <w:t>firma </w:t>
      </w:r>
      <w:r>
        <w:rPr>
          <w:color w:val="231F20"/>
        </w:rPr>
        <w:t>de </w:t>
      </w:r>
      <w:r>
        <w:rPr>
          <w:color w:val="231F20"/>
          <w:spacing w:val="-3"/>
        </w:rPr>
        <w:t>las </w:t>
      </w:r>
      <w:r>
        <w:rPr>
          <w:color w:val="231F20"/>
          <w:spacing w:val="-4"/>
        </w:rPr>
        <w:t>actuaciones administrativas automatizadas </w:t>
      </w:r>
      <w:r>
        <w:rPr>
          <w:color w:val="231F20"/>
        </w:rPr>
        <w:t>en la </w:t>
      </w:r>
      <w:r>
        <w:rPr>
          <w:color w:val="231F20"/>
          <w:spacing w:val="-3"/>
        </w:rPr>
        <w:t>sede </w:t>
      </w:r>
      <w:r>
        <w:rPr>
          <w:color w:val="231F20"/>
          <w:spacing w:val="-4"/>
        </w:rPr>
        <w:t>electrónica </w:t>
      </w:r>
      <w:r>
        <w:rPr>
          <w:color w:val="231F20"/>
        </w:rPr>
        <w:t>y se </w:t>
      </w:r>
      <w:r>
        <w:rPr>
          <w:color w:val="231F20"/>
          <w:spacing w:val="-3"/>
        </w:rPr>
        <w:t>crea </w:t>
      </w:r>
      <w:r>
        <w:rPr>
          <w:color w:val="231F20"/>
        </w:rPr>
        <w:t>el </w:t>
      </w:r>
      <w:r>
        <w:rPr>
          <w:color w:val="231F20"/>
          <w:spacing w:val="-4"/>
        </w:rPr>
        <w:t>registro electrónico </w:t>
      </w:r>
      <w:r>
        <w:rPr>
          <w:color w:val="231F20"/>
        </w:rPr>
        <w:t>de </w:t>
      </w:r>
      <w:r>
        <w:rPr>
          <w:color w:val="231F20"/>
          <w:spacing w:val="-4"/>
        </w:rPr>
        <w:t>certificados </w:t>
      </w:r>
      <w:r>
        <w:rPr>
          <w:color w:val="231F20"/>
          <w:spacing w:val="-3"/>
        </w:rPr>
        <w:t>que </w:t>
      </w:r>
      <w:r>
        <w:rPr>
          <w:color w:val="231F20"/>
          <w:spacing w:val="-4"/>
        </w:rPr>
        <w:t>se expidan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dicha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sede,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modificada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por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Resolución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21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octubre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2015.</w:t>
      </w:r>
    </w:p>
    <w:p>
      <w:pPr>
        <w:pStyle w:val="BodyText"/>
      </w:pPr>
    </w:p>
    <w:p>
      <w:pPr>
        <w:pStyle w:val="BodyText"/>
        <w:spacing w:line="266" w:lineRule="auto" w:before="149"/>
        <w:ind w:left="304" w:right="298" w:firstLine="283"/>
        <w:jc w:val="both"/>
      </w:pPr>
      <w:r>
        <w:rPr>
          <w:color w:val="231F20"/>
        </w:rPr>
        <w:t>En su virtud, y de conformidad con lo dispuesto en el artículo 24, apartado 2 del </w:t>
      </w:r>
      <w:r>
        <w:rPr>
          <w:color w:val="231F20"/>
          <w:spacing w:val="-2"/>
        </w:rPr>
        <w:t>citado </w:t>
      </w:r>
      <w:r>
        <w:rPr>
          <w:color w:val="231F20"/>
        </w:rPr>
        <w:t>Decreto </w:t>
      </w:r>
      <w:r>
        <w:rPr>
          <w:color w:val="231F20"/>
          <w:spacing w:val="-3"/>
        </w:rPr>
        <w:t>19/2011, </w:t>
      </w:r>
      <w:r>
        <w:rPr>
          <w:color w:val="231F20"/>
        </w:rPr>
        <w:t>la creación de los sellos electrónicos se realizará por resolución de la Secretaría</w:t>
      </w:r>
      <w:r>
        <w:rPr>
          <w:color w:val="231F20"/>
          <w:spacing w:val="-15"/>
        </w:rPr>
        <w:t> </w:t>
      </w:r>
      <w:r>
        <w:rPr>
          <w:color w:val="231F20"/>
        </w:rPr>
        <w:t>General</w:t>
      </w:r>
      <w:r>
        <w:rPr>
          <w:color w:val="231F20"/>
          <w:spacing w:val="-17"/>
        </w:rPr>
        <w:t> </w:t>
      </w:r>
      <w:r>
        <w:rPr>
          <w:color w:val="231F20"/>
        </w:rPr>
        <w:t>Técnica</w:t>
      </w:r>
      <w:r>
        <w:rPr>
          <w:color w:val="231F20"/>
          <w:spacing w:val="-15"/>
        </w:rPr>
        <w:t> </w:t>
      </w:r>
      <w:r>
        <w:rPr>
          <w:color w:val="231F20"/>
        </w:rPr>
        <w:t>u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órgano</w:t>
      </w:r>
      <w:r>
        <w:rPr>
          <w:color w:val="231F20"/>
          <w:spacing w:val="-14"/>
        </w:rPr>
        <w:t> </w:t>
      </w:r>
      <w:r>
        <w:rPr>
          <w:color w:val="231F20"/>
        </w:rPr>
        <w:t>equivalente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15"/>
        </w:rPr>
        <w:t> </w:t>
      </w:r>
      <w:r>
        <w:rPr>
          <w:color w:val="231F20"/>
        </w:rPr>
        <w:t>departamento</w:t>
      </w:r>
      <w:r>
        <w:rPr>
          <w:color w:val="231F20"/>
          <w:spacing w:val="-14"/>
        </w:rPr>
        <w:t> </w:t>
      </w:r>
      <w:r>
        <w:rPr>
          <w:color w:val="231F20"/>
        </w:rPr>
        <w:t>u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organismo</w:t>
      </w:r>
      <w:r>
        <w:rPr>
          <w:color w:val="231F20"/>
          <w:spacing w:val="-15"/>
        </w:rPr>
        <w:t> </w:t>
      </w:r>
      <w:r>
        <w:rPr>
          <w:color w:val="231F20"/>
        </w:rPr>
        <w:t>competente 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actuación</w:t>
      </w:r>
      <w:r>
        <w:rPr>
          <w:color w:val="231F20"/>
          <w:spacing w:val="-13"/>
        </w:rPr>
        <w:t> </w:t>
      </w:r>
      <w:r>
        <w:rPr>
          <w:color w:val="231F20"/>
        </w:rPr>
        <w:t>automatizada,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concordancia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lo</w:t>
      </w:r>
      <w:r>
        <w:rPr>
          <w:color w:val="231F20"/>
          <w:spacing w:val="-13"/>
        </w:rPr>
        <w:t> </w:t>
      </w:r>
      <w:r>
        <w:rPr>
          <w:color w:val="231F20"/>
        </w:rPr>
        <w:t>establecido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</w:rPr>
        <w:t>4,</w:t>
      </w:r>
      <w:r>
        <w:rPr>
          <w:color w:val="231F20"/>
          <w:spacing w:val="-13"/>
        </w:rPr>
        <w:t> </w:t>
      </w:r>
      <w:r>
        <w:rPr>
          <w:color w:val="231F20"/>
        </w:rPr>
        <w:t>apartados 2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Disposiciones</w:t>
      </w:r>
      <w:r>
        <w:rPr>
          <w:color w:val="231F20"/>
          <w:spacing w:val="-7"/>
        </w:rPr>
        <w:t> </w:t>
      </w:r>
      <w:r>
        <w:rPr>
          <w:color w:val="231F20"/>
        </w:rPr>
        <w:t>adicionales</w:t>
      </w:r>
      <w:r>
        <w:rPr>
          <w:color w:val="231F20"/>
          <w:spacing w:val="-6"/>
        </w:rPr>
        <w:t> </w:t>
      </w:r>
      <w:r>
        <w:rPr>
          <w:color w:val="231F20"/>
        </w:rPr>
        <w:t>primera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segunda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Orden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Consejería</w:t>
      </w:r>
      <w:r>
        <w:rPr>
          <w:color w:val="231F20"/>
          <w:spacing w:val="-6"/>
        </w:rPr>
        <w:t> </w:t>
      </w:r>
      <w:r>
        <w:rPr>
          <w:color w:val="231F20"/>
        </w:rPr>
        <w:t>de Empleo, Industria y Comercio de 16 de julio de 2012, por la que se crea y regula la sede y registro electrónico del Servicio Canario de</w:t>
      </w:r>
      <w:r>
        <w:rPr>
          <w:color w:val="231F20"/>
          <w:spacing w:val="-25"/>
        </w:rPr>
        <w:t> </w:t>
      </w:r>
      <w:r>
        <w:rPr>
          <w:color w:val="231F20"/>
        </w:rPr>
        <w:t>Empleo.</w:t>
      </w:r>
    </w:p>
    <w:p>
      <w:pPr>
        <w:spacing w:after="0" w:line="26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126" w:footer="662" w:top="1660" w:bottom="860" w:left="1680" w:right="1680"/>
          <w:pgNumType w:start="7745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60"/>
        <w:ind w:left="1837" w:right="1838"/>
        <w:jc w:val="center"/>
      </w:pPr>
      <w:r>
        <w:rPr>
          <w:color w:val="231F20"/>
        </w:rPr>
        <w:t>R E S U E L V O:</w:t>
      </w:r>
    </w:p>
    <w:p>
      <w:pPr>
        <w:pStyle w:val="BodyText"/>
        <w:spacing w:before="11"/>
        <w:rPr>
          <w:b/>
          <w:sz w:val="24"/>
        </w:rPr>
      </w:pPr>
    </w:p>
    <w:p>
      <w:pPr>
        <w:spacing w:before="0"/>
        <w:ind w:left="587" w:right="0" w:firstLine="0"/>
        <w:jc w:val="left"/>
        <w:rPr>
          <w:sz w:val="22"/>
        </w:rPr>
      </w:pPr>
      <w:r>
        <w:rPr>
          <w:b/>
          <w:color w:val="231F20"/>
          <w:sz w:val="22"/>
        </w:rPr>
        <w:t>Primero.- Creación del sello electrónico cualificado del Servicio Canario de Empleo</w:t>
      </w:r>
      <w:r>
        <w:rPr>
          <w:color w:val="231F20"/>
          <w:sz w:val="22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spacing w:line="266" w:lineRule="auto"/>
        <w:ind w:left="304" w:right="298" w:firstLine="283"/>
        <w:jc w:val="both"/>
      </w:pPr>
      <w:r>
        <w:rPr>
          <w:color w:val="231F20"/>
        </w:rPr>
        <w:t>Se crea el sello electrónico cualificado como sistema de firma electrónica para la identificación y autenticación en las actuaciones administrativas automatizadas realizadas en el ejercicio de las competencias del Servicio Canario de Empleo.</w:t>
      </w:r>
    </w:p>
    <w:p>
      <w:pPr>
        <w:pStyle w:val="BodyText"/>
        <w:spacing w:before="4"/>
      </w:pPr>
    </w:p>
    <w:p>
      <w:pPr>
        <w:pStyle w:val="Heading1"/>
      </w:pPr>
      <w:r>
        <w:rPr>
          <w:color w:val="231F20"/>
        </w:rPr>
        <w:t>Segundo.- Órgano responsable.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66" w:lineRule="auto"/>
        <w:ind w:left="304" w:right="305" w:firstLine="283"/>
        <w:jc w:val="both"/>
      </w:pPr>
      <w:r>
        <w:rPr>
          <w:color w:val="231F20"/>
        </w:rPr>
        <w:t>El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órgano</w:t>
      </w:r>
      <w:r>
        <w:rPr>
          <w:color w:val="231F20"/>
          <w:spacing w:val="-20"/>
        </w:rPr>
        <w:t> </w:t>
      </w:r>
      <w:r>
        <w:rPr>
          <w:color w:val="231F20"/>
        </w:rPr>
        <w:t>responsable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utilización</w:t>
      </w:r>
      <w:r>
        <w:rPr>
          <w:color w:val="231F20"/>
          <w:spacing w:val="-20"/>
        </w:rPr>
        <w:t> </w:t>
      </w:r>
      <w:r>
        <w:rPr>
          <w:color w:val="231F20"/>
        </w:rPr>
        <w:t>del</w:t>
      </w:r>
      <w:r>
        <w:rPr>
          <w:color w:val="231F20"/>
          <w:spacing w:val="-19"/>
        </w:rPr>
        <w:t> </w:t>
      </w:r>
      <w:r>
        <w:rPr>
          <w:color w:val="231F20"/>
        </w:rPr>
        <w:t>sello</w:t>
      </w:r>
      <w:r>
        <w:rPr>
          <w:color w:val="231F20"/>
          <w:spacing w:val="-20"/>
        </w:rPr>
        <w:t> </w:t>
      </w:r>
      <w:r>
        <w:rPr>
          <w:color w:val="231F20"/>
        </w:rPr>
        <w:t>electrónico</w:t>
      </w:r>
      <w:r>
        <w:rPr>
          <w:color w:val="231F20"/>
          <w:spacing w:val="-19"/>
        </w:rPr>
        <w:t> </w:t>
      </w:r>
      <w:r>
        <w:rPr>
          <w:color w:val="231F20"/>
        </w:rPr>
        <w:t>será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Secretaría</w:t>
      </w:r>
      <w:r>
        <w:rPr>
          <w:color w:val="231F20"/>
          <w:spacing w:val="-20"/>
        </w:rPr>
        <w:t> </w:t>
      </w:r>
      <w:r>
        <w:rPr>
          <w:color w:val="231F20"/>
        </w:rPr>
        <w:t>General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del </w:t>
      </w:r>
      <w:r>
        <w:rPr>
          <w:color w:val="231F20"/>
        </w:rPr>
        <w:t>Servicio Canario de</w:t>
      </w:r>
      <w:r>
        <w:rPr>
          <w:color w:val="231F20"/>
          <w:spacing w:val="-11"/>
        </w:rPr>
        <w:t> </w:t>
      </w:r>
      <w:r>
        <w:rPr>
          <w:color w:val="231F20"/>
        </w:rPr>
        <w:t>Empleo.</w:t>
      </w:r>
    </w:p>
    <w:p>
      <w:pPr>
        <w:pStyle w:val="BodyText"/>
        <w:spacing w:before="5"/>
      </w:pPr>
    </w:p>
    <w:p>
      <w:pPr>
        <w:pStyle w:val="BodyText"/>
        <w:spacing w:line="266" w:lineRule="auto"/>
        <w:ind w:left="304" w:right="297" w:firstLine="283"/>
        <w:jc w:val="both"/>
      </w:pPr>
      <w:r>
        <w:rPr>
          <w:color w:val="231F20"/>
        </w:rPr>
        <w:t>Para la definición de las especificaciones, programación, mantenimiento, supervisión y control de calidad y, en su caso, auditoría del sistema de información y de su código fuente, el órgano competente es la Dirección General de Telecomunicaciones y Nuevas Tecnologías.</w:t>
      </w:r>
    </w:p>
    <w:p>
      <w:pPr>
        <w:pStyle w:val="BodyText"/>
        <w:spacing w:before="4"/>
      </w:pPr>
    </w:p>
    <w:p>
      <w:pPr>
        <w:pStyle w:val="Heading1"/>
      </w:pPr>
      <w:r>
        <w:rPr>
          <w:color w:val="231F20"/>
        </w:rPr>
        <w:t>Tercero.- Características del sello electrónico.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66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La titularidad del sello electrónico corresponde al Servicio Canario de Empleo, </w:t>
      </w:r>
      <w:r>
        <w:rPr>
          <w:color w:val="231F20"/>
          <w:spacing w:val="-2"/>
          <w:sz w:val="22"/>
        </w:rPr>
        <w:t>que </w:t>
      </w:r>
      <w:r>
        <w:rPr>
          <w:color w:val="231F20"/>
          <w:sz w:val="22"/>
        </w:rPr>
        <w:t>será responsable de su utilización y custodia, así como, de resolver la impugnación de </w:t>
      </w:r>
      <w:r>
        <w:rPr>
          <w:color w:val="231F20"/>
          <w:spacing w:val="-2"/>
          <w:sz w:val="22"/>
        </w:rPr>
        <w:t>las </w:t>
      </w:r>
      <w:r>
        <w:rPr>
          <w:color w:val="231F20"/>
          <w:sz w:val="22"/>
        </w:rPr>
        <w:t>actuaciones automatizadas firmadas por este </w:t>
      </w:r>
      <w:r>
        <w:rPr>
          <w:color w:val="231F20"/>
          <w:spacing w:val="-3"/>
          <w:sz w:val="22"/>
        </w:rPr>
        <w:t>órgano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directivo.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66" w:lineRule="auto" w:before="1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Para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definición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especificaciones,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programación,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mantenimiento,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supervisión y control de calidad, y en su caso, auditoría del sistema de información y de su </w:t>
      </w:r>
      <w:r>
        <w:rPr>
          <w:color w:val="231F20"/>
          <w:spacing w:val="-2"/>
          <w:sz w:val="22"/>
        </w:rPr>
        <w:t>código </w:t>
      </w:r>
      <w:r>
        <w:rPr>
          <w:color w:val="231F20"/>
          <w:sz w:val="22"/>
        </w:rPr>
        <w:t>fuente,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órgano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competente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será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responsable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cada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sistema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información.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66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características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técnicas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generales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sistema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firma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certificado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aplicable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son </w:t>
      </w:r>
      <w:r>
        <w:rPr>
          <w:color w:val="231F20"/>
          <w:sz w:val="22"/>
        </w:rPr>
        <w:t>las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derivadas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Esquema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Nacional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Seguridad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(ENS),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propia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Política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 Identificación y Firma del Gobierno de Canarias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2"/>
          <w:sz w:val="22"/>
        </w:rPr>
        <w:t>(PIA).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En todo caso, la relación de los sistemas de obtención del sello electrónico, incluyendo las</w:t>
      </w:r>
      <w:r>
        <w:rPr>
          <w:color w:val="231F20"/>
          <w:spacing w:val="-13"/>
        </w:rPr>
        <w:t> </w:t>
      </w:r>
      <w:r>
        <w:rPr>
          <w:color w:val="231F20"/>
        </w:rPr>
        <w:t>características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certificados</w:t>
      </w:r>
      <w:r>
        <w:rPr>
          <w:color w:val="231F20"/>
          <w:spacing w:val="-12"/>
        </w:rPr>
        <w:t> </w:t>
      </w:r>
      <w:r>
        <w:rPr>
          <w:color w:val="231F20"/>
        </w:rPr>
        <w:t>electrónico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prestadores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lo</w:t>
      </w:r>
      <w:r>
        <w:rPr>
          <w:color w:val="231F20"/>
          <w:spacing w:val="-13"/>
        </w:rPr>
        <w:t> </w:t>
      </w:r>
      <w:r>
        <w:rPr>
          <w:color w:val="231F20"/>
        </w:rPr>
        <w:t>expiden,</w:t>
      </w:r>
      <w:r>
        <w:rPr>
          <w:color w:val="231F20"/>
          <w:spacing w:val="-12"/>
        </w:rPr>
        <w:t> </w:t>
      </w:r>
      <w:r>
        <w:rPr>
          <w:color w:val="231F20"/>
        </w:rPr>
        <w:t>será</w:t>
      </w:r>
      <w:r>
        <w:rPr>
          <w:color w:val="231F20"/>
          <w:spacing w:val="-13"/>
        </w:rPr>
        <w:t> </w:t>
      </w:r>
      <w:r>
        <w:rPr>
          <w:color w:val="231F20"/>
        </w:rPr>
        <w:t>pública y accesible en la sede electrónica del Servicio Canario de Empleo </w:t>
      </w:r>
      <w:hyperlink r:id="rId7">
        <w:r>
          <w:rPr>
            <w:color w:val="231F20"/>
          </w:rPr>
          <w:t>https://sede.gobcan.es/</w:t>
        </w:r>
      </w:hyperlink>
      <w:r>
        <w:rPr>
          <w:color w:val="231F20"/>
        </w:rPr>
        <w:t> </w:t>
      </w:r>
      <w:hyperlink r:id="rId7">
        <w:r>
          <w:rPr>
            <w:color w:val="231F20"/>
          </w:rPr>
          <w:t>empleo/la_sede</w:t>
        </w:r>
      </w:hyperlink>
    </w:p>
    <w:p>
      <w:pPr>
        <w:pStyle w:val="BodyText"/>
      </w:pPr>
    </w:p>
    <w:p>
      <w:pPr>
        <w:pStyle w:val="Heading1"/>
        <w:spacing w:before="147"/>
      </w:pPr>
      <w:r>
        <w:rPr>
          <w:color w:val="231F20"/>
        </w:rPr>
        <w:t>Cuarto.- Verificación del Certificado.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59" w:lineRule="auto" w:before="1"/>
        <w:ind w:left="304" w:right="301" w:firstLine="283"/>
        <w:jc w:val="both"/>
      </w:pPr>
      <w:r>
        <w:rPr>
          <w:color w:val="231F20"/>
        </w:rPr>
        <w:t>La</w:t>
      </w:r>
      <w:r>
        <w:rPr>
          <w:color w:val="231F20"/>
          <w:spacing w:val="-23"/>
        </w:rPr>
        <w:t> </w:t>
      </w:r>
      <w:r>
        <w:rPr>
          <w:color w:val="231F20"/>
        </w:rPr>
        <w:t>verificación</w:t>
      </w:r>
      <w:r>
        <w:rPr>
          <w:color w:val="231F20"/>
          <w:spacing w:val="-23"/>
        </w:rPr>
        <w:t> </w:t>
      </w:r>
      <w:r>
        <w:rPr>
          <w:color w:val="231F20"/>
        </w:rPr>
        <w:t>del</w:t>
      </w:r>
      <w:r>
        <w:rPr>
          <w:color w:val="231F20"/>
          <w:spacing w:val="-22"/>
        </w:rPr>
        <w:t> </w:t>
      </w:r>
      <w:r>
        <w:rPr>
          <w:color w:val="231F20"/>
        </w:rPr>
        <w:t>certificado</w:t>
      </w:r>
      <w:r>
        <w:rPr>
          <w:color w:val="231F20"/>
          <w:spacing w:val="-23"/>
        </w:rPr>
        <w:t> </w:t>
      </w:r>
      <w:r>
        <w:rPr>
          <w:color w:val="231F20"/>
        </w:rPr>
        <w:t>podrá</w:t>
      </w:r>
      <w:r>
        <w:rPr>
          <w:color w:val="231F20"/>
          <w:spacing w:val="-23"/>
        </w:rPr>
        <w:t> </w:t>
      </w:r>
      <w:r>
        <w:rPr>
          <w:color w:val="231F20"/>
        </w:rPr>
        <w:t>realizarse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través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la</w:t>
      </w:r>
      <w:r>
        <w:rPr>
          <w:color w:val="231F20"/>
          <w:spacing w:val="-23"/>
        </w:rPr>
        <w:t> </w:t>
      </w:r>
      <w:r>
        <w:rPr>
          <w:color w:val="231F20"/>
        </w:rPr>
        <w:t>sede</w:t>
      </w:r>
      <w:r>
        <w:rPr>
          <w:color w:val="231F20"/>
          <w:spacing w:val="-23"/>
        </w:rPr>
        <w:t> </w:t>
      </w:r>
      <w:r>
        <w:rPr>
          <w:color w:val="231F20"/>
        </w:rPr>
        <w:t>electrónica</w:t>
      </w:r>
      <w:r>
        <w:rPr>
          <w:color w:val="231F20"/>
          <w:spacing w:val="-22"/>
        </w:rPr>
        <w:t> </w:t>
      </w:r>
      <w:r>
        <w:rPr>
          <w:color w:val="231F20"/>
        </w:rPr>
        <w:t>del</w:t>
      </w:r>
      <w:r>
        <w:rPr>
          <w:color w:val="231F20"/>
          <w:spacing w:val="-23"/>
        </w:rPr>
        <w:t> </w:t>
      </w:r>
      <w:r>
        <w:rPr>
          <w:color w:val="231F20"/>
        </w:rPr>
        <w:t>Servicio Canario de Empleo:</w:t>
      </w:r>
      <w:r>
        <w:rPr>
          <w:color w:val="231F20"/>
          <w:spacing w:val="-41"/>
        </w:rPr>
        <w:t> </w:t>
      </w:r>
      <w:hyperlink r:id="rId8">
        <w:r>
          <w:rPr>
            <w:color w:val="231F20"/>
          </w:rPr>
          <w:t>https://sede.gobcan.es/empleo/la_sede/verificacion_certificados</w:t>
        </w:r>
      </w:hyperlink>
    </w:p>
    <w:p>
      <w:pPr>
        <w:pStyle w:val="BodyText"/>
      </w:pPr>
    </w:p>
    <w:p>
      <w:pPr>
        <w:pStyle w:val="Heading1"/>
        <w:spacing w:before="145"/>
      </w:pPr>
      <w:r>
        <w:rPr>
          <w:color w:val="231F20"/>
        </w:rPr>
        <w:t>Quinto.- Actuaciones administrativas automatizadas.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266" w:lineRule="auto" w:before="1"/>
        <w:ind w:left="304" w:right="301" w:firstLine="283"/>
        <w:jc w:val="both"/>
      </w:pPr>
      <w:r>
        <w:rPr>
          <w:color w:val="231F20"/>
        </w:rPr>
        <w:t>El sello electrónico podrá ser utilizado para las siguientes actuaciones administrativas automatizadas:</w:t>
      </w:r>
    </w:p>
    <w:p>
      <w:pPr>
        <w:spacing w:after="0" w:line="266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04" w:val="left" w:leader="none"/>
        </w:tabs>
        <w:spacing w:line="256" w:lineRule="auto" w:before="6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emisión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acuse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recibo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acreditativo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presentación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solicitudes,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escritos, comunicaciones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otros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documentos,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emitido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automáticamente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Registro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Electrónico del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SCE,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previsto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29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Decreto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19/2011,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10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febrero, por el que se regula la utilización de los medios electrónicos en la Administración Pública de la Comunidad Autónoma de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Canarias.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800" w:val="left" w:leader="none"/>
        </w:tabs>
        <w:spacing w:line="256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obtención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imágenes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electrónicas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documentos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papel,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misma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validez y eficacia, a través de procesos de digitalización, de acuerdo con lo previsto en el artículo 27 de la Ley 39/2015, de 1 de octubre, del Procedimiento Administrativo Común de </w:t>
      </w:r>
      <w:r>
        <w:rPr>
          <w:color w:val="231F20"/>
          <w:spacing w:val="-2"/>
          <w:sz w:val="22"/>
        </w:rPr>
        <w:t>las </w:t>
      </w:r>
      <w:r>
        <w:rPr>
          <w:color w:val="231F20"/>
          <w:sz w:val="22"/>
        </w:rPr>
        <w:t>Administraciones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Públicas,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41.5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Decreto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3"/>
          <w:sz w:val="22"/>
        </w:rPr>
        <w:t>19/2011,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10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febrero,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por </w:t>
      </w: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regula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utilización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medios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electrónicos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Administración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Pública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 Comunidad Autónoma de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Canarias.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56" w:lineRule="auto" w:before="1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Las acciones de validación de transferencias e ingresos en el Archivo </w:t>
      </w:r>
      <w:r>
        <w:rPr>
          <w:color w:val="231F20"/>
          <w:spacing w:val="-2"/>
          <w:sz w:val="22"/>
        </w:rPr>
        <w:t>Electrónico, </w:t>
      </w:r>
      <w:r>
        <w:rPr>
          <w:color w:val="231F20"/>
          <w:sz w:val="22"/>
        </w:rPr>
        <w:t>así como el resellado de documentos por cambio de formato o cualquier otra actuación administrativa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gestión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archivo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cumplimiento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establecido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Orden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23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 febrero de 2015, por la que se aprueba la Política de gestión de documentos electrónicos y archivo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electrónico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Administración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Pública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Comunidad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Autónoma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Canarias.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256" w:lineRule="auto" w:before="0" w:after="0"/>
        <w:ind w:left="304" w:right="299" w:firstLine="283"/>
        <w:jc w:val="both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firma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electrónica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documentos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relativos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notificación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comparecencia en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sede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electrónica,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establecido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artículo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4.7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Orden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9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mayo 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2016,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regula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sistema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notificación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electrónica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mediante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comparecencia 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sedes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electrónicas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ámbito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Administración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Pública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Comunidad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Autónoma de Canarias y sus </w:t>
      </w:r>
      <w:r>
        <w:rPr>
          <w:color w:val="231F20"/>
          <w:spacing w:val="-3"/>
          <w:sz w:val="22"/>
        </w:rPr>
        <w:t>organismos </w:t>
      </w:r>
      <w:r>
        <w:rPr>
          <w:color w:val="231F20"/>
          <w:sz w:val="22"/>
        </w:rPr>
        <w:t>públicos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dependientes.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809" w:val="left" w:leader="none"/>
        </w:tabs>
        <w:spacing w:line="256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sello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electrónico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garantizará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autenticidad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integridad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documento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emitido que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podrá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consultarse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siguiente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dirección:</w:t>
      </w:r>
      <w:r>
        <w:rPr>
          <w:color w:val="231F20"/>
          <w:spacing w:val="-22"/>
          <w:sz w:val="22"/>
        </w:rPr>
        <w:t> </w:t>
      </w:r>
      <w:hyperlink r:id="rId9">
        <w:r>
          <w:rPr>
            <w:color w:val="231F20"/>
            <w:sz w:val="22"/>
          </w:rPr>
          <w:t>https://sede.gobcan.es/empleo/verifica_doc</w:t>
        </w:r>
      </w:hyperlink>
    </w:p>
    <w:p>
      <w:pPr>
        <w:pStyle w:val="BodyText"/>
        <w:spacing w:before="5"/>
      </w:pPr>
    </w:p>
    <w:p>
      <w:pPr>
        <w:pStyle w:val="Heading1"/>
      </w:pPr>
      <w:r>
        <w:rPr>
          <w:color w:val="231F20"/>
        </w:rPr>
        <w:t>Sexto.- Garantía de autenticidad e integridad.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56" w:lineRule="auto"/>
        <w:ind w:left="304" w:right="300" w:firstLine="283"/>
        <w:jc w:val="both"/>
      </w:pPr>
      <w:r>
        <w:rPr>
          <w:color w:val="231F20"/>
        </w:rPr>
        <w:t>El sello electrónico se utilizará para garantizar la autenticidad e integridad de un documento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expediente</w:t>
      </w:r>
      <w:r>
        <w:rPr>
          <w:color w:val="231F20"/>
          <w:spacing w:val="-14"/>
        </w:rPr>
        <w:t> </w:t>
      </w:r>
      <w:r>
        <w:rPr>
          <w:color w:val="231F20"/>
        </w:rPr>
        <w:t>electrónico,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cuyo</w:t>
      </w:r>
      <w:r>
        <w:rPr>
          <w:color w:val="231F20"/>
          <w:spacing w:val="-14"/>
        </w:rPr>
        <w:t> </w:t>
      </w:r>
      <w:r>
        <w:rPr>
          <w:color w:val="231F20"/>
        </w:rPr>
        <w:t>efecto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podrá</w:t>
      </w:r>
      <w:r>
        <w:rPr>
          <w:color w:val="231F20"/>
          <w:spacing w:val="-14"/>
        </w:rPr>
        <w:t> </w:t>
      </w:r>
      <w:r>
        <w:rPr>
          <w:color w:val="231F20"/>
        </w:rPr>
        <w:t>superponer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código</w:t>
      </w:r>
      <w:r>
        <w:rPr>
          <w:color w:val="231F20"/>
          <w:spacing w:val="-14"/>
        </w:rPr>
        <w:t> </w:t>
      </w:r>
      <w:r>
        <w:rPr>
          <w:color w:val="231F20"/>
        </w:rPr>
        <w:t>seguro</w:t>
      </w:r>
      <w:r>
        <w:rPr>
          <w:color w:val="231F20"/>
          <w:spacing w:val="-14"/>
        </w:rPr>
        <w:t> </w:t>
      </w:r>
      <w:r>
        <w:rPr>
          <w:color w:val="231F20"/>
        </w:rPr>
        <w:t>de verificación con que se haya</w:t>
      </w:r>
      <w:r>
        <w:rPr>
          <w:color w:val="231F20"/>
          <w:spacing w:val="-20"/>
        </w:rPr>
        <w:t> </w:t>
      </w:r>
      <w:r>
        <w:rPr>
          <w:color w:val="231F20"/>
        </w:rPr>
        <w:t>firmado.</w:t>
      </w:r>
    </w:p>
    <w:p>
      <w:pPr>
        <w:pStyle w:val="BodyText"/>
        <w:spacing w:before="5"/>
      </w:pPr>
    </w:p>
    <w:p>
      <w:pPr>
        <w:pStyle w:val="Heading1"/>
        <w:spacing w:line="256" w:lineRule="auto"/>
        <w:ind w:left="304" w:right="304" w:firstLine="283"/>
        <w:jc w:val="both"/>
      </w:pPr>
      <w:r>
        <w:rPr>
          <w:color w:val="231F20"/>
        </w:rPr>
        <w:t>Séptimo.-</w:t>
      </w:r>
      <w:r>
        <w:rPr>
          <w:color w:val="231F20"/>
          <w:spacing w:val="-21"/>
        </w:rPr>
        <w:t> </w:t>
      </w:r>
      <w:r>
        <w:rPr>
          <w:color w:val="231F20"/>
        </w:rPr>
        <w:t>Pérdida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efectos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las</w:t>
      </w:r>
      <w:r>
        <w:rPr>
          <w:color w:val="231F20"/>
          <w:spacing w:val="-21"/>
        </w:rPr>
        <w:t> </w:t>
      </w:r>
      <w:r>
        <w:rPr>
          <w:color w:val="231F20"/>
        </w:rPr>
        <w:t>Resoluciones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creación</w:t>
      </w:r>
      <w:r>
        <w:rPr>
          <w:color w:val="231F20"/>
          <w:spacing w:val="-20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</w:rPr>
        <w:t>modificación</w:t>
      </w:r>
      <w:r>
        <w:rPr>
          <w:color w:val="231F20"/>
          <w:spacing w:val="-21"/>
        </w:rPr>
        <w:t> </w:t>
      </w:r>
      <w:r>
        <w:rPr>
          <w:color w:val="231F20"/>
        </w:rPr>
        <w:t>del</w:t>
      </w:r>
      <w:r>
        <w:rPr>
          <w:color w:val="231F20"/>
          <w:spacing w:val="-20"/>
        </w:rPr>
        <w:t> </w:t>
      </w:r>
      <w:r>
        <w:rPr>
          <w:color w:val="231F20"/>
        </w:rPr>
        <w:t>sello </w:t>
      </w:r>
      <w:r>
        <w:rPr>
          <w:color w:val="231F20"/>
          <w:spacing w:val="-2"/>
        </w:rPr>
        <w:t>electrónico.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56" w:lineRule="auto"/>
        <w:ind w:left="304" w:right="298" w:firstLine="283"/>
        <w:jc w:val="both"/>
      </w:pPr>
      <w:r>
        <w:rPr>
          <w:color w:val="231F20"/>
        </w:rPr>
        <w:t>Dejar sin efectos la Resolución de 25 de julio de 2012, por la que se crea el sello electrónico</w:t>
      </w:r>
      <w:r>
        <w:rPr>
          <w:color w:val="231F20"/>
          <w:spacing w:val="-16"/>
        </w:rPr>
        <w:t> </w:t>
      </w:r>
      <w:r>
        <w:rPr>
          <w:color w:val="231F20"/>
        </w:rPr>
        <w:t>del</w:t>
      </w:r>
      <w:r>
        <w:rPr>
          <w:color w:val="231F20"/>
          <w:spacing w:val="-16"/>
        </w:rPr>
        <w:t> </w:t>
      </w:r>
      <w:r>
        <w:rPr>
          <w:color w:val="231F20"/>
        </w:rPr>
        <w:t>Servicio</w:t>
      </w:r>
      <w:r>
        <w:rPr>
          <w:color w:val="231F20"/>
          <w:spacing w:val="-16"/>
        </w:rPr>
        <w:t> </w:t>
      </w:r>
      <w:r>
        <w:rPr>
          <w:color w:val="231F20"/>
        </w:rPr>
        <w:t>Canario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Empleo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identificación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firma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las</w:t>
      </w:r>
      <w:r>
        <w:rPr>
          <w:color w:val="231F20"/>
          <w:spacing w:val="-15"/>
        </w:rPr>
        <w:t> </w:t>
      </w:r>
      <w:r>
        <w:rPr>
          <w:color w:val="231F20"/>
        </w:rPr>
        <w:t>actuaciones administrativas automatizadas en la sede electrónica y se crea el registro electrónico de certificados que se expidan en dicha sede, y la Resolución de 21 de octubre de 2015, </w:t>
      </w:r>
      <w:r>
        <w:rPr>
          <w:color w:val="231F20"/>
          <w:spacing w:val="-2"/>
        </w:rPr>
        <w:t>que </w:t>
      </w:r>
      <w:r>
        <w:rPr>
          <w:color w:val="231F20"/>
        </w:rPr>
        <w:t>modifica la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anterior.</w:t>
      </w:r>
    </w:p>
    <w:p>
      <w:pPr>
        <w:pStyle w:val="BodyText"/>
        <w:spacing w:before="8"/>
      </w:pPr>
    </w:p>
    <w:p>
      <w:pPr>
        <w:pStyle w:val="Heading1"/>
      </w:pPr>
      <w:r>
        <w:rPr>
          <w:color w:val="231F20"/>
        </w:rPr>
        <w:t>Octavo.- Publicación.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color w:val="231F20"/>
        </w:rPr>
        <w:t>La presente Resolución se publicará en la sede electrónica del Servicio Canario de Empleo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surtirá</w:t>
      </w:r>
      <w:r>
        <w:rPr>
          <w:color w:val="231F20"/>
          <w:spacing w:val="-13"/>
        </w:rPr>
        <w:t> </w:t>
      </w:r>
      <w:r>
        <w:rPr>
          <w:color w:val="231F20"/>
        </w:rPr>
        <w:t>efectos</w:t>
      </w:r>
      <w:r>
        <w:rPr>
          <w:color w:val="231F20"/>
          <w:spacing w:val="-13"/>
        </w:rPr>
        <w:t> </w:t>
      </w:r>
      <w:r>
        <w:rPr>
          <w:color w:val="231F20"/>
        </w:rPr>
        <w:t>desde</w:t>
      </w:r>
      <w:r>
        <w:rPr>
          <w:color w:val="231F20"/>
          <w:spacing w:val="-13"/>
        </w:rPr>
        <w:t> </w:t>
      </w:r>
      <w:r>
        <w:rPr>
          <w:color w:val="231F20"/>
        </w:rPr>
        <w:t>su</w:t>
      </w:r>
      <w:r>
        <w:rPr>
          <w:color w:val="231F20"/>
          <w:spacing w:val="-13"/>
        </w:rPr>
        <w:t> </w:t>
      </w:r>
      <w:r>
        <w:rPr>
          <w:color w:val="231F20"/>
        </w:rPr>
        <w:t>publicación.</w:t>
      </w:r>
      <w:r>
        <w:rPr>
          <w:color w:val="231F20"/>
          <w:spacing w:val="-23"/>
        </w:rPr>
        <w:t> </w:t>
      </w:r>
      <w:r>
        <w:rPr>
          <w:color w:val="231F20"/>
        </w:rPr>
        <w:t>Además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publicará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Boletín</w:t>
      </w:r>
      <w:r>
        <w:rPr>
          <w:color w:val="231F20"/>
          <w:spacing w:val="-13"/>
        </w:rPr>
        <w:t> </w:t>
      </w:r>
      <w:r>
        <w:rPr>
          <w:color w:val="231F20"/>
        </w:rPr>
        <w:t>Oficial</w:t>
      </w:r>
      <w:r>
        <w:rPr>
          <w:color w:val="231F20"/>
          <w:spacing w:val="-13"/>
        </w:rPr>
        <w:t> </w:t>
      </w:r>
      <w:r>
        <w:rPr>
          <w:color w:val="231F20"/>
        </w:rPr>
        <w:t>de Canarias para general</w:t>
      </w:r>
      <w:r>
        <w:rPr>
          <w:color w:val="231F20"/>
          <w:spacing w:val="-11"/>
        </w:rPr>
        <w:t> </w:t>
      </w:r>
      <w:r>
        <w:rPr>
          <w:color w:val="231F20"/>
        </w:rPr>
        <w:t>conocimiento.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301" w:firstLine="283"/>
        <w:jc w:val="both"/>
      </w:pPr>
      <w:r>
        <w:rPr>
          <w:color w:val="231F20"/>
        </w:rPr>
        <w:t>Contra</w:t>
      </w:r>
      <w:r>
        <w:rPr>
          <w:color w:val="231F20"/>
          <w:spacing w:val="-34"/>
        </w:rPr>
        <w:t> </w:t>
      </w:r>
      <w:r>
        <w:rPr>
          <w:color w:val="231F20"/>
        </w:rPr>
        <w:t>esta</w:t>
      </w:r>
      <w:r>
        <w:rPr>
          <w:color w:val="231F20"/>
          <w:spacing w:val="-33"/>
        </w:rPr>
        <w:t> </w:t>
      </w:r>
      <w:r>
        <w:rPr>
          <w:color w:val="231F20"/>
        </w:rPr>
        <w:t>Resolución</w:t>
      </w:r>
      <w:r>
        <w:rPr>
          <w:color w:val="231F20"/>
          <w:spacing w:val="-34"/>
        </w:rPr>
        <w:t> </w:t>
      </w:r>
      <w:r>
        <w:rPr>
          <w:color w:val="231F20"/>
        </w:rPr>
        <w:t>se</w:t>
      </w:r>
      <w:r>
        <w:rPr>
          <w:color w:val="231F20"/>
          <w:spacing w:val="-33"/>
        </w:rPr>
        <w:t> </w:t>
      </w:r>
      <w:r>
        <w:rPr>
          <w:color w:val="231F20"/>
        </w:rPr>
        <w:t>podrá</w:t>
      </w:r>
      <w:r>
        <w:rPr>
          <w:color w:val="231F20"/>
          <w:spacing w:val="-34"/>
        </w:rPr>
        <w:t> </w:t>
      </w:r>
      <w:r>
        <w:rPr>
          <w:color w:val="231F20"/>
        </w:rPr>
        <w:t>interponer</w:t>
      </w:r>
      <w:r>
        <w:rPr>
          <w:color w:val="231F20"/>
          <w:spacing w:val="-33"/>
        </w:rPr>
        <w:t> </w:t>
      </w:r>
      <w:r>
        <w:rPr>
          <w:color w:val="231F20"/>
        </w:rPr>
        <w:t>recurso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alzada</w:t>
      </w:r>
      <w:r>
        <w:rPr>
          <w:color w:val="231F20"/>
          <w:spacing w:val="-33"/>
        </w:rPr>
        <w:t> </w:t>
      </w:r>
      <w:r>
        <w:rPr>
          <w:color w:val="231F20"/>
        </w:rPr>
        <w:t>ante</w:t>
      </w:r>
      <w:r>
        <w:rPr>
          <w:color w:val="231F20"/>
          <w:spacing w:val="-34"/>
        </w:rPr>
        <w:t> </w:t>
      </w:r>
      <w:r>
        <w:rPr>
          <w:color w:val="231F20"/>
        </w:rPr>
        <w:t>la</w:t>
      </w:r>
      <w:r>
        <w:rPr>
          <w:color w:val="231F20"/>
          <w:spacing w:val="-33"/>
        </w:rPr>
        <w:t> </w:t>
      </w:r>
      <w:r>
        <w:rPr>
          <w:color w:val="231F20"/>
        </w:rPr>
        <w:t>Dirección</w:t>
      </w:r>
      <w:r>
        <w:rPr>
          <w:color w:val="231F20"/>
          <w:spacing w:val="-34"/>
        </w:rPr>
        <w:t> </w:t>
      </w:r>
      <w:r>
        <w:rPr>
          <w:color w:val="231F20"/>
        </w:rPr>
        <w:t>del</w:t>
      </w:r>
      <w:r>
        <w:rPr>
          <w:color w:val="231F20"/>
          <w:spacing w:val="-33"/>
        </w:rPr>
        <w:t> </w:t>
      </w:r>
      <w:r>
        <w:rPr>
          <w:color w:val="231F20"/>
        </w:rPr>
        <w:t>Servicio Canario de Empleo en el plazo de un mes, a partir del día siguiente al de su </w:t>
      </w:r>
      <w:r>
        <w:rPr>
          <w:color w:val="231F20"/>
          <w:spacing w:val="-2"/>
        </w:rPr>
        <w:t>publicación, </w:t>
      </w:r>
      <w:r>
        <w:rPr>
          <w:color w:val="231F20"/>
        </w:rPr>
        <w:t>conforme a lo previsto en los artículos 121 y 122 de la Ley 39/2015, de 1 de octubre, </w:t>
      </w:r>
      <w:r>
        <w:rPr>
          <w:color w:val="231F20"/>
          <w:spacing w:val="-2"/>
        </w:rPr>
        <w:t>del </w:t>
      </w:r>
      <w:r>
        <w:rPr>
          <w:color w:val="231F20"/>
        </w:rPr>
        <w:t>Procedimiento</w:t>
      </w:r>
      <w:r>
        <w:rPr>
          <w:color w:val="231F20"/>
          <w:spacing w:val="-18"/>
        </w:rPr>
        <w:t> </w:t>
      </w:r>
      <w:r>
        <w:rPr>
          <w:color w:val="231F20"/>
        </w:rPr>
        <w:t>Administrativo</w:t>
      </w:r>
      <w:r>
        <w:rPr>
          <w:color w:val="231F20"/>
          <w:spacing w:val="-6"/>
        </w:rPr>
        <w:t> </w:t>
      </w:r>
      <w:r>
        <w:rPr>
          <w:color w:val="231F20"/>
        </w:rPr>
        <w:t>Común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17"/>
        </w:rPr>
        <w:t> </w:t>
      </w:r>
      <w:r>
        <w:rPr>
          <w:color w:val="231F20"/>
        </w:rPr>
        <w:t>Administraciones</w:t>
      </w:r>
      <w:r>
        <w:rPr>
          <w:color w:val="231F20"/>
          <w:spacing w:val="-6"/>
        </w:rPr>
        <w:t> </w:t>
      </w:r>
      <w:r>
        <w:rPr>
          <w:color w:val="231F20"/>
        </w:rPr>
        <w:t>Públicas.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304" w:right="305" w:firstLine="283"/>
        <w:jc w:val="both"/>
      </w:pPr>
      <w:r>
        <w:rPr>
          <w:color w:val="231F20"/>
        </w:rPr>
        <w:t>Las Palmas de Gran Canaria, a 20 de febrero de 2019.- La Secretaria General, Mónica Ramírez Barbosa.</w:t>
      </w:r>
    </w:p>
    <w:sectPr>
      <w:pgSz w:w="11910" w:h="16840"/>
      <w:pgMar w:header="1126" w:footer="662" w:top="1660" w:bottom="8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6.544586pt;margin-top:797.801819pt;width:63.05pt;height:9.8pt;mso-position-horizontal-relative:page;mso-position-vertical-relative:page;z-index:-2517995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boc-a-2019-048-1085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902pt;margin-top:798.848938pt;width:75.5pt;height:9pt;mso-position-horizontal-relative:page;mso-position-vertical-relative:page;z-index:-251798528" type="#_x0000_t202" filled="false" stroked="false">
          <v:textbox inset="0,0,0,0">
            <w:txbxContent>
              <w:p>
                <w:pPr>
                  <w:spacing w:line="155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https://sede.gobcan.es/boc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1805696" from="56.692902pt,56.693214pt" to="538.582902pt,56.693214pt" stroked="true" strokeweight=".75pt" strokecolor="#231f2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251511808">
          <wp:simplePos x="0" y="0"/>
          <wp:positionH relativeFrom="page">
            <wp:posOffset>725265</wp:posOffset>
          </wp:positionH>
          <wp:positionV relativeFrom="page">
            <wp:posOffset>748431</wp:posOffset>
          </wp:positionV>
          <wp:extent cx="272478" cy="2159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478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1803648" from="56.692902pt,77.953018pt" to="538.582902pt,77.953018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.874001pt;margin-top:65.043716pt;width:131.5pt;height:11pt;mso-position-horizontal-relative:page;mso-position-vertical-relative:page;z-index:-251802624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Boletín Oficial de Canarias núm. 48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637787pt;margin-top:65.043716pt;width:24pt;height:11pt;mso-position-horizontal-relative:page;mso-position-vertical-relative:page;z-index:-251801600" type="#_x0000_t202" filled="false" stroked="false">
          <v:textbox inset="0,0,0,0">
            <w:txbxContent>
              <w:p>
                <w:pPr>
                  <w:spacing w:line="194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8.191589pt;margin-top:65.043716pt;width:101.45pt;height:11pt;mso-position-horizontal-relative:page;mso-position-vertical-relative:page;z-index:-251800576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Lunes 11 de marzo de 2019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04" w:hanging="216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24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9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3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8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2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47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1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96" w:hanging="216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304" w:hanging="239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2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9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3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8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2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47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1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96" w:hanging="23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587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304" w:right="300" w:firstLine="28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gobcan.es/empleo/la_sede" TargetMode="External"/><Relationship Id="rId8" Type="http://schemas.openxmlformats.org/officeDocument/2006/relationships/hyperlink" Target="https://sede.gobcan.es/empleo/la_sede/verificacion_certificados" TargetMode="External"/><Relationship Id="rId9" Type="http://schemas.openxmlformats.org/officeDocument/2006/relationships/hyperlink" Target="https://sede.gobcan.es/empleo/verifica_doc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2021-10-29T08:48:55Z</dcterms:created>
  <dcterms:modified xsi:type="dcterms:W3CDTF">2021-10-29T08:48:55Z</dcterms:modified>
</cp:coreProperties>
</file>